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w w:val="48"/>
          <w:sz w:val="144"/>
          <w:szCs w:val="144"/>
        </w:rPr>
      </w:pPr>
      <w:bookmarkStart w:id="0" w:name="page1"/>
      <w:bookmarkEnd w:id="0"/>
      <w:r>
        <w:rPr>
          <w:rFonts w:hint="eastAsia" w:ascii="宋体" w:hAnsi="宋体" w:cs="宋体"/>
          <w:b/>
          <w:bCs/>
          <w:color w:val="FF0000"/>
          <w:w w:val="48"/>
          <w:sz w:val="144"/>
          <w:szCs w:val="144"/>
        </w:rPr>
        <w:t>四川师范大学基础教育集团</w:t>
      </w:r>
    </w:p>
    <w:p>
      <w:pPr>
        <w:jc w:val="center"/>
        <w:rPr>
          <w:rFonts w:hint="eastAsia" w:ascii="黑体" w:hAnsi="黑体" w:eastAsia="黑体"/>
          <w:bCs/>
          <w:spacing w:val="-8"/>
          <w:w w:val="80"/>
          <w:kern w:val="11"/>
          <w:sz w:val="24"/>
        </w:rPr>
      </w:pPr>
      <w:r>
        <w:rPr>
          <w:rFonts w:hint="eastAsia" w:ascii="仿宋_GB2312" w:eastAsia="仿宋_GB2312"/>
          <w:sz w:val="32"/>
          <w:szCs w:val="32"/>
        </w:rPr>
        <w:t>川师基教字〔2018〕</w:t>
      </w:r>
      <w:r>
        <w:rPr>
          <w:rFonts w:hint="eastAsia" w:ascii="仿宋_GB2312" w:eastAsia="仿宋_GB2312"/>
          <w:sz w:val="32"/>
          <w:szCs w:val="32"/>
          <w:lang w:val="en-US" w:eastAsia="zh-CN"/>
        </w:rPr>
        <w:t>30</w:t>
      </w:r>
      <w:r>
        <w:rPr>
          <w:rFonts w:hint="eastAsia" w:ascii="仿宋_GB2312" w:eastAsia="仿宋_GB2312"/>
          <w:sz w:val="32"/>
          <w:szCs w:val="32"/>
        </w:rPr>
        <w:t>号</w:t>
      </w:r>
    </w:p>
    <w:p>
      <w:pPr>
        <w:spacing w:line="336" w:lineRule="auto"/>
        <w:rPr>
          <w:rFonts w:hint="eastAsia" w:ascii="仿宋_GB2312" w:hAnsi="仿宋_GB2312" w:eastAsia="仿宋_GB2312" w:cs="仿宋_GB2312"/>
          <w:b/>
          <w:sz w:val="28"/>
          <w:szCs w:val="28"/>
        </w:rPr>
      </w:pPr>
      <w:r>
        <w:rPr>
          <w:rFonts w:hint="eastAsia" w:ascii="黑体" w:hAnsi="黑体" w:eastAsia="黑体" w:cs="黑体"/>
          <w:b/>
          <w:sz w:val="44"/>
          <w:szCs w:val="44"/>
          <w:lang w:val="zh-CN"/>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120015</wp:posOffset>
                </wp:positionV>
                <wp:extent cx="2447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44792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9.45pt;height:0pt;width:192.75pt;z-index:251663360;mso-width-relative:page;mso-height-relative:page;" filled="f" stroked="t" coordsize="21600,21600" o:gfxdata="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yyAdUAAAAHAQAA&#10;DwAAAAAAAAABACAAAAAiAAAAZHJzL2Rvd25yZXYueG1sUEsBAhQAFAAAAAgAh07iQF1+YEDjAQAA&#10;pQMAAA4AAAAAAAAAAQAgAAAAJAEAAGRycy9lMm9Eb2MueG1sUEsFBgAAAAAGAAYAWQEAAHkFAAAA&#10;AA==&#10;">
                <v:fill on="f" focussize="0,0"/>
                <v:stroke weight="1.25pt" color="#FF0000" joinstyle="round"/>
                <v:imagedata o:title=""/>
                <o:lock v:ext="edit" aspectratio="f"/>
              </v:line>
            </w:pict>
          </mc:Fallback>
        </mc:AlternateContent>
      </w:r>
      <w:r>
        <w:rPr>
          <w:rFonts w:hint="eastAsia" w:ascii="黑体" w:hAnsi="黑体" w:eastAsia="黑体" w:cs="黑体"/>
          <w:b/>
          <w:sz w:val="44"/>
          <w:szCs w:val="44"/>
          <w:lang w:val="zh-CN"/>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0</wp:posOffset>
                </wp:positionV>
                <wp:extent cx="228600" cy="217170"/>
                <wp:effectExtent l="24765" t="25400" r="32385" b="24130"/>
                <wp:wrapNone/>
                <wp:docPr id="5" name="任意多边形 5"/>
                <wp:cNvGraphicFramePr/>
                <a:graphic xmlns:a="http://schemas.openxmlformats.org/drawingml/2006/main">
                  <a:graphicData uri="http://schemas.microsoft.com/office/word/2010/wordprocessingShape">
                    <wps:wsp>
                      <wps:cNvSpPr/>
                      <wps:spPr>
                        <a:xfrm>
                          <a:off x="0" y="0"/>
                          <a:ext cx="228600" cy="217170"/>
                        </a:xfrm>
                        <a:custGeom>
                          <a:avLst/>
                          <a:gdLst/>
                          <a:ahLst/>
                          <a:cxnLst>
                            <a:cxn ang="16200000">
                              <a:pos x="114300" y="0"/>
                            </a:cxn>
                            <a:cxn ang="10800000">
                              <a:pos x="0" y="82951"/>
                            </a:cxn>
                            <a:cxn ang="5400000">
                              <a:pos x="43658" y="217169"/>
                            </a:cxn>
                            <a:cxn ang="5400000">
                              <a:pos x="184941" y="217169"/>
                            </a:cxn>
                            <a:cxn ang="0">
                              <a:pos x="228599" y="82951"/>
                            </a:cxn>
                          </a:cxnLst>
                          <a:pathLst>
                            <a:path w="228600" h="217170">
                              <a:moveTo>
                                <a:pt x="0" y="82951"/>
                              </a:moveTo>
                              <a:lnTo>
                                <a:pt x="87317" y="82951"/>
                              </a:lnTo>
                              <a:lnTo>
                                <a:pt x="114300" y="0"/>
                              </a:lnTo>
                              <a:lnTo>
                                <a:pt x="141282" y="82951"/>
                              </a:lnTo>
                              <a:lnTo>
                                <a:pt x="228599" y="82951"/>
                              </a:lnTo>
                              <a:lnTo>
                                <a:pt x="157957" y="134217"/>
                              </a:lnTo>
                              <a:lnTo>
                                <a:pt x="184941" y="217169"/>
                              </a:lnTo>
                              <a:lnTo>
                                <a:pt x="114300" y="165901"/>
                              </a:lnTo>
                              <a:lnTo>
                                <a:pt x="43658" y="217169"/>
                              </a:lnTo>
                              <a:lnTo>
                                <a:pt x="70642" y="134217"/>
                              </a:lnTo>
                              <a:close/>
                            </a:path>
                          </a:pathLst>
                        </a:custGeom>
                        <a:solidFill>
                          <a:srgbClr val="FF0000"/>
                        </a:solidFill>
                        <a:ln w="1587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o:spt="100" style="position:absolute;left:0pt;margin-left:199.5pt;margin-top:0pt;height:17.1pt;width:18pt;z-index:251661312;mso-width-relative:page;mso-height-relative:page;" fillcolor="#FF0000" filled="t" stroked="t" coordsize="228600,217170" o:gfxdata="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BOXu&#10;D9YAAAAHAQAADwAAAAAAAAABACAAAAAiAAAAZHJzL2Rvd25yZXYueG1sUEsBAhQAFAAAAAgAh07i&#10;QKTmaevPAgAAIQcAAA4AAAAAAAAAAQAgAAAAJQEAAGRycy9lMm9Eb2MueG1sUEsFBgAAAAAGAAYA&#10;WQEAAGYGAAAAAA==&#10;" path="m0,82951l87317,82951,114300,0,141282,82951,228599,82951,157957,134217,184941,217169,114300,165901,43658,217169,70642,134217xe">
                <v:path o:connectlocs="114300,0;0,82951;43658,217169;184941,217169;228599,82951" o:connectangles="247,164,82,82,0"/>
                <v:fill on="t" focussize="0,0"/>
                <v:stroke weight="1.25pt" color="#FF0000" joinstyle="miter"/>
                <v:imagedata o:title=""/>
                <o:lock v:ext="edit" aspectratio="f"/>
              </v:shape>
            </w:pict>
          </mc:Fallback>
        </mc:AlternateContent>
      </w:r>
      <w:r>
        <w:rPr>
          <w:rFonts w:hint="eastAsia" w:ascii="黑体" w:hAnsi="黑体" w:eastAsia="黑体" w:cs="黑体"/>
          <w:b/>
          <w:sz w:val="44"/>
          <w:szCs w:val="44"/>
          <w:lang w:val="zh-CN"/>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120015</wp:posOffset>
                </wp:positionV>
                <wp:extent cx="24479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44792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0.5pt;margin-top:9.45pt;height:0pt;width:192.75pt;z-index:251662336;mso-width-relative:page;mso-height-relative:page;" filled="f" stroked="t" coordsize="21600,21600" o:gfxdata="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5fbF1wAAAAkB&#10;AAAPAAAAAAAAAAEAIAAAACIAAABkcnMvZG93bnJldi54bWxQSwECFAAUAAAACACHTuJAxyT2zeMB&#10;AAClAwAADgAAAAAAAAABACAAAAAmAQAAZHJzL2Uyb0RvYy54bWxQSwUGAAAAAAYABgBZAQAAewUA&#10;AAAA&#10;">
                <v:fill on="f" focussize="0,0"/>
                <v:stroke weight="1.25pt" color="#FF0000" joinstyle="round"/>
                <v:imagedata o:title=""/>
                <o:lock v:ext="edit" aspectratio="f"/>
              </v:line>
            </w:pict>
          </mc:Fallback>
        </mc:AlternateContent>
      </w:r>
    </w:p>
    <w:p>
      <w:pPr>
        <w:spacing w:line="0" w:lineRule="atLeast"/>
        <w:jc w:val="center"/>
        <w:rPr>
          <w:rFonts w:hint="eastAsia" w:ascii="小标宋" w:hAnsi="Calibri" w:eastAsia="小标宋"/>
          <w:bCs/>
          <w:sz w:val="44"/>
          <w:szCs w:val="44"/>
          <w:lang w:eastAsia="zh-CN"/>
        </w:rPr>
      </w:pPr>
      <w:r>
        <w:rPr>
          <w:rFonts w:hint="eastAsia" w:ascii="小标宋" w:hAnsi="Calibri" w:eastAsia="小标宋"/>
          <w:bCs/>
          <w:sz w:val="44"/>
          <w:szCs w:val="44"/>
          <w:lang w:eastAsia="zh-CN"/>
        </w:rPr>
        <w:t>关于各附校及幼儿园做好近期活动</w:t>
      </w:r>
    </w:p>
    <w:p>
      <w:pPr>
        <w:spacing w:line="0" w:lineRule="atLeast"/>
        <w:jc w:val="center"/>
        <w:rPr>
          <w:rFonts w:hint="eastAsia" w:ascii="小标宋" w:hAnsi="Calibri" w:eastAsia="小标宋"/>
          <w:bCs/>
          <w:sz w:val="44"/>
          <w:szCs w:val="44"/>
          <w:lang w:eastAsia="zh-CN"/>
        </w:rPr>
      </w:pPr>
      <w:r>
        <w:rPr>
          <w:rFonts w:hint="eastAsia" w:ascii="小标宋" w:hAnsi="Calibri" w:eastAsia="小标宋"/>
          <w:bCs/>
          <w:sz w:val="44"/>
          <w:szCs w:val="44"/>
          <w:lang w:eastAsia="zh-CN"/>
        </w:rPr>
        <w:t>信息统计工作的通知</w:t>
      </w:r>
    </w:p>
    <w:p>
      <w:pPr>
        <w:spacing w:line="0" w:lineRule="atLeast"/>
        <w:jc w:val="center"/>
        <w:rPr>
          <w:rFonts w:hint="eastAsia" w:ascii="小标宋" w:eastAsia="小标宋"/>
          <w:bCs/>
          <w:sz w:val="44"/>
          <w:szCs w:val="44"/>
        </w:rPr>
      </w:pPr>
    </w:p>
    <w:p>
      <w:pPr>
        <w:rPr>
          <w:rFonts w:hint="eastAsia" w:ascii="仿宋" w:hAnsi="仿宋" w:eastAsia="仿宋" w:cs="仿宋"/>
          <w:sz w:val="32"/>
          <w:szCs w:val="32"/>
        </w:rPr>
      </w:pPr>
      <w:r>
        <w:rPr>
          <w:rFonts w:hint="eastAsia" w:ascii="仿宋" w:hAnsi="仿宋" w:eastAsia="仿宋" w:cs="仿宋"/>
          <w:sz w:val="32"/>
          <w:szCs w:val="32"/>
        </w:rPr>
        <w:t>各附属学校、幼儿园：</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为进一步深化四川师范大学关于基础教育事业发展与改革的意见和精神，</w:t>
      </w:r>
      <w:r>
        <w:rPr>
          <w:rFonts w:hint="eastAsia" w:ascii="仿宋" w:hAnsi="仿宋" w:eastAsia="仿宋" w:cs="仿宋"/>
          <w:sz w:val="32"/>
          <w:szCs w:val="32"/>
          <w:lang w:eastAsia="zh-CN"/>
        </w:rPr>
        <w:t>有效整合四川师大的优质教育资源支持各附校、幼儿园的发展，集团现要求</w:t>
      </w:r>
      <w:r>
        <w:rPr>
          <w:rFonts w:hint="eastAsia" w:ascii="仿宋" w:hAnsi="仿宋" w:eastAsia="仿宋" w:cs="仿宋"/>
          <w:sz w:val="32"/>
          <w:szCs w:val="32"/>
        </w:rPr>
        <w:t>各附属学校、幼儿园</w:t>
      </w:r>
      <w:r>
        <w:rPr>
          <w:rFonts w:hint="eastAsia" w:ascii="仿宋" w:hAnsi="仿宋" w:eastAsia="仿宋" w:cs="仿宋"/>
          <w:sz w:val="32"/>
          <w:szCs w:val="32"/>
          <w:lang w:eastAsia="zh-CN"/>
        </w:rPr>
        <w:t>对本学期拟开展的校级教学教研或相关特色活动进行统计，以便集团掌握相关信息</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针对性地</w:t>
      </w:r>
      <w:r>
        <w:rPr>
          <w:rFonts w:hint="eastAsia" w:ascii="仿宋" w:hAnsi="仿宋" w:eastAsia="仿宋" w:cs="仿宋"/>
          <w:sz w:val="32"/>
          <w:szCs w:val="32"/>
          <w:lang w:val="en-US" w:eastAsia="zh-CN"/>
        </w:rPr>
        <w:t>调动相应资源</w:t>
      </w:r>
      <w:r>
        <w:rPr>
          <w:rFonts w:hint="eastAsia" w:ascii="仿宋" w:hAnsi="仿宋" w:eastAsia="仿宋" w:cs="仿宋"/>
          <w:sz w:val="32"/>
          <w:szCs w:val="32"/>
          <w:lang w:eastAsia="zh-CN"/>
        </w:rPr>
        <w:t>开展工作，及时给予各附校活动开展的指导和支持。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统计要求：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1、全面梳理各校（园）本学期拟开展的校级层面以上的教学教研、学术研讨及品牌建设、招生宣传等其他具有代表性的活动。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按照《信息收集表》（见附件）进行信息</w:t>
      </w:r>
      <w:r>
        <w:rPr>
          <w:rFonts w:hint="eastAsia" w:ascii="仿宋" w:hAnsi="仿宋" w:eastAsia="仿宋" w:cs="仿宋"/>
          <w:sz w:val="32"/>
          <w:szCs w:val="32"/>
          <w:lang w:val="en-US" w:eastAsia="zh-CN"/>
        </w:rPr>
        <w:t>整理和统计</w:t>
      </w:r>
      <w:r>
        <w:rPr>
          <w:rFonts w:hint="default" w:ascii="仿宋" w:hAnsi="仿宋" w:eastAsia="仿宋" w:cs="仿宋"/>
          <w:sz w:val="32"/>
          <w:szCs w:val="32"/>
          <w:lang w:val="en-US" w:eastAsia="zh-CN"/>
        </w:rPr>
        <w:t>。主要包含</w:t>
      </w:r>
      <w:r>
        <w:rPr>
          <w:rFonts w:hint="eastAsia" w:ascii="仿宋" w:hAnsi="仿宋" w:eastAsia="仿宋" w:cs="仿宋"/>
          <w:sz w:val="32"/>
          <w:szCs w:val="32"/>
          <w:lang w:val="en-US" w:eastAsia="zh-CN"/>
        </w:rPr>
        <w:t>各附属学校（幼儿园）近期拟开展的活动主题、时间、地点、活动类型、参与活动的对象及规模</w:t>
      </w:r>
      <w:r>
        <w:rPr>
          <w:rFonts w:hint="default" w:ascii="仿宋" w:hAnsi="仿宋" w:eastAsia="仿宋" w:cs="仿宋"/>
          <w:sz w:val="32"/>
          <w:szCs w:val="32"/>
          <w:lang w:val="en-US" w:eastAsia="zh-CN"/>
        </w:rPr>
        <w:t>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3、10</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18</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本周四</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下午5点</w:t>
      </w:r>
      <w:r>
        <w:rPr>
          <w:rFonts w:hint="default" w:ascii="仿宋" w:hAnsi="仿宋" w:eastAsia="仿宋" w:cs="仿宋"/>
          <w:sz w:val="32"/>
          <w:szCs w:val="32"/>
          <w:lang w:val="en-US" w:eastAsia="zh-CN"/>
        </w:rPr>
        <w:t>前将《信息收集表》</w:t>
      </w:r>
      <w:r>
        <w:rPr>
          <w:rFonts w:hint="eastAsia" w:ascii="仿宋" w:hAnsi="仿宋" w:eastAsia="仿宋" w:cs="仿宋"/>
          <w:sz w:val="32"/>
          <w:szCs w:val="32"/>
          <w:lang w:val="en-US" w:eastAsia="zh-CN"/>
        </w:rPr>
        <w:t>（电子档）上报</w:t>
      </w:r>
      <w:r>
        <w:rPr>
          <w:rFonts w:hint="default" w:ascii="仿宋" w:hAnsi="仿宋" w:eastAsia="仿宋" w:cs="仿宋"/>
          <w:sz w:val="32"/>
          <w:szCs w:val="32"/>
          <w:lang w:val="en-US" w:eastAsia="zh-CN"/>
        </w:rPr>
        <w:t>至</w:t>
      </w:r>
      <w:r>
        <w:rPr>
          <w:rFonts w:hint="eastAsia" w:ascii="仿宋" w:hAnsi="仿宋" w:eastAsia="仿宋" w:cs="仿宋"/>
          <w:sz w:val="32"/>
          <w:szCs w:val="32"/>
          <w:lang w:val="en-US" w:eastAsia="zh-CN"/>
        </w:rPr>
        <w:t>集团办公室。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"mailto:936017467@qq.com；"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936017467</w:t>
      </w:r>
      <w:r>
        <w:rPr>
          <w:rFonts w:hint="default" w:ascii="仿宋" w:hAnsi="仿宋" w:eastAsia="仿宋" w:cs="仿宋"/>
          <w:sz w:val="32"/>
          <w:szCs w:val="32"/>
          <w:lang w:val="en-US" w:eastAsia="zh-CN"/>
        </w:rPr>
        <w:t>@qq.com</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end"/>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w:t>
      </w:r>
      <w:r>
        <w:rPr>
          <w:rFonts w:hint="default" w:ascii="仿宋" w:hAnsi="仿宋" w:eastAsia="仿宋" w:cs="仿宋"/>
          <w:sz w:val="32"/>
          <w:szCs w:val="32"/>
          <w:lang w:val="en-US" w:eastAsia="zh-CN"/>
        </w:rPr>
        <w:t>电话</w:t>
      </w:r>
      <w:r>
        <w:rPr>
          <w:rFonts w:hint="eastAsia" w:ascii="仿宋" w:hAnsi="仿宋" w:eastAsia="仿宋" w:cs="仿宋"/>
          <w:sz w:val="32"/>
          <w:szCs w:val="32"/>
          <w:lang w:val="en-US" w:eastAsia="zh-CN"/>
        </w:rPr>
        <w:t>：028-84761295；联系人：秦绍林、杨竣文。</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请</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校（园）</w:t>
      </w:r>
      <w:r>
        <w:rPr>
          <w:rFonts w:hint="default" w:ascii="仿宋" w:hAnsi="仿宋" w:eastAsia="仿宋" w:cs="仿宋"/>
          <w:sz w:val="32"/>
          <w:szCs w:val="32"/>
          <w:lang w:val="en-US" w:eastAsia="zh-CN"/>
        </w:rPr>
        <w:t>高度重视，</w:t>
      </w:r>
      <w:r>
        <w:rPr>
          <w:rFonts w:hint="eastAsia" w:ascii="仿宋" w:hAnsi="仿宋" w:eastAsia="仿宋" w:cs="仿宋"/>
          <w:sz w:val="32"/>
          <w:szCs w:val="32"/>
          <w:lang w:val="en-US" w:eastAsia="zh-CN"/>
        </w:rPr>
        <w:t>系统梳理，准备上报。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特此通知。</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《信息收集表》</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 xml:space="preserve">  </w:t>
      </w:r>
      <w:bookmarkStart w:id="1" w:name="_GoBack"/>
      <w:bookmarkEnd w:id="1"/>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四川师范大学基础教育集团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2018年</w:t>
      </w:r>
      <w:r>
        <w:rPr>
          <w:rFonts w:hint="eastAsia" w:ascii="仿宋" w:hAnsi="仿宋" w:eastAsia="仿宋" w:cs="仿宋"/>
          <w:sz w:val="32"/>
          <w:szCs w:val="32"/>
          <w:lang w:val="en-US" w:eastAsia="zh-CN"/>
        </w:rPr>
        <w:t>10</w:t>
      </w:r>
      <w:r>
        <w:rPr>
          <w:rFonts w:hint="eastAsia" w:ascii="仿宋" w:hAnsi="仿宋" w:eastAsia="仿宋" w:cs="仿宋"/>
          <w:sz w:val="32"/>
          <w:szCs w:val="32"/>
        </w:rPr>
        <w:t>月1</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附件： </w:t>
      </w:r>
    </w:p>
    <w:p>
      <w:pPr>
        <w:jc w:val="center"/>
        <w:rPr>
          <w:rFonts w:hint="default"/>
          <w:sz w:val="36"/>
          <w:szCs w:val="32"/>
          <w:lang w:val="en-US" w:eastAsia="zh-CN"/>
        </w:rPr>
      </w:pPr>
      <w:r>
        <w:rPr>
          <w:rFonts w:hint="default"/>
          <w:sz w:val="36"/>
          <w:szCs w:val="32"/>
          <w:lang w:val="en-US" w:eastAsia="zh-CN"/>
        </w:rPr>
        <w:t>信息收集表</w:t>
      </w:r>
    </w:p>
    <w:p>
      <w:pPr>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学校（幼儿园）：                                      填表时间：</w:t>
      </w:r>
    </w:p>
    <w:tbl>
      <w:tblPr>
        <w:tblStyle w:val="6"/>
        <w:tblpPr w:leftFromText="180" w:rightFromText="180" w:vertAnchor="text" w:horzAnchor="page" w:tblpX="982" w:tblpY="287"/>
        <w:tblOverlap w:val="never"/>
        <w:tblW w:w="1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00"/>
        <w:gridCol w:w="1710"/>
        <w:gridCol w:w="1410"/>
        <w:gridCol w:w="1515"/>
        <w:gridCol w:w="136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30" w:type="dxa"/>
          </w:tcPr>
          <w:p>
            <w:pPr>
              <w:jc w:val="center"/>
              <w:rPr>
                <w:rFonts w:hint="eastAsia"/>
                <w:b/>
                <w:bCs/>
                <w:sz w:val="24"/>
                <w:szCs w:val="22"/>
                <w:vertAlign w:val="baseline"/>
                <w:lang w:eastAsia="zh-CN"/>
              </w:rPr>
            </w:pPr>
            <w:r>
              <w:rPr>
                <w:rFonts w:hint="eastAsia"/>
                <w:b/>
                <w:bCs/>
                <w:sz w:val="24"/>
                <w:szCs w:val="22"/>
                <w:vertAlign w:val="baseline"/>
                <w:lang w:eastAsia="zh-CN"/>
              </w:rPr>
              <w:t>序号</w:t>
            </w:r>
          </w:p>
        </w:tc>
        <w:tc>
          <w:tcPr>
            <w:tcW w:w="2100" w:type="dxa"/>
          </w:tcPr>
          <w:p>
            <w:pPr>
              <w:jc w:val="center"/>
              <w:rPr>
                <w:rFonts w:hint="eastAsia" w:eastAsia="微软雅黑"/>
                <w:b/>
                <w:bCs/>
                <w:sz w:val="24"/>
                <w:szCs w:val="22"/>
                <w:vertAlign w:val="baseline"/>
                <w:lang w:eastAsia="zh-CN"/>
              </w:rPr>
            </w:pPr>
            <w:r>
              <w:rPr>
                <w:rFonts w:hint="eastAsia"/>
                <w:b/>
                <w:bCs/>
                <w:sz w:val="24"/>
                <w:szCs w:val="22"/>
                <w:vertAlign w:val="baseline"/>
                <w:lang w:eastAsia="zh-CN"/>
              </w:rPr>
              <w:t>活动主题</w:t>
            </w:r>
          </w:p>
        </w:tc>
        <w:tc>
          <w:tcPr>
            <w:tcW w:w="1710" w:type="dxa"/>
          </w:tcPr>
          <w:p>
            <w:pPr>
              <w:jc w:val="center"/>
              <w:rPr>
                <w:rFonts w:hint="eastAsia" w:eastAsia="微软雅黑"/>
                <w:b/>
                <w:bCs/>
                <w:sz w:val="24"/>
                <w:szCs w:val="22"/>
                <w:vertAlign w:val="baseline"/>
                <w:lang w:eastAsia="zh-CN"/>
              </w:rPr>
            </w:pPr>
            <w:r>
              <w:rPr>
                <w:rFonts w:hint="eastAsia"/>
                <w:b/>
                <w:bCs/>
                <w:sz w:val="24"/>
                <w:szCs w:val="22"/>
                <w:vertAlign w:val="baseline"/>
                <w:lang w:eastAsia="zh-CN"/>
              </w:rPr>
              <w:t>活动时间</w:t>
            </w:r>
          </w:p>
        </w:tc>
        <w:tc>
          <w:tcPr>
            <w:tcW w:w="1410" w:type="dxa"/>
          </w:tcPr>
          <w:p>
            <w:pPr>
              <w:jc w:val="center"/>
              <w:rPr>
                <w:rFonts w:hint="eastAsia" w:eastAsia="微软雅黑"/>
                <w:b/>
                <w:bCs/>
                <w:sz w:val="24"/>
                <w:szCs w:val="22"/>
                <w:vertAlign w:val="baseline"/>
                <w:lang w:eastAsia="zh-CN"/>
              </w:rPr>
            </w:pPr>
            <w:r>
              <w:rPr>
                <w:rFonts w:hint="eastAsia"/>
                <w:b/>
                <w:bCs/>
                <w:sz w:val="24"/>
                <w:szCs w:val="22"/>
                <w:vertAlign w:val="baseline"/>
                <w:lang w:eastAsia="zh-CN"/>
              </w:rPr>
              <w:t>活动地点</w:t>
            </w:r>
          </w:p>
        </w:tc>
        <w:tc>
          <w:tcPr>
            <w:tcW w:w="1515" w:type="dxa"/>
          </w:tcPr>
          <w:p>
            <w:pPr>
              <w:jc w:val="center"/>
              <w:rPr>
                <w:rFonts w:hint="eastAsia" w:eastAsia="微软雅黑"/>
                <w:b/>
                <w:bCs/>
                <w:sz w:val="24"/>
                <w:szCs w:val="22"/>
                <w:vertAlign w:val="baseline"/>
                <w:lang w:eastAsia="zh-CN"/>
              </w:rPr>
            </w:pPr>
            <w:r>
              <w:rPr>
                <w:rFonts w:hint="eastAsia"/>
                <w:b/>
                <w:bCs/>
                <w:sz w:val="24"/>
                <w:szCs w:val="22"/>
                <w:vertAlign w:val="baseline"/>
                <w:lang w:eastAsia="zh-CN"/>
              </w:rPr>
              <w:t>参与对象</w:t>
            </w:r>
          </w:p>
        </w:tc>
        <w:tc>
          <w:tcPr>
            <w:tcW w:w="1361" w:type="dxa"/>
          </w:tcPr>
          <w:p>
            <w:pPr>
              <w:jc w:val="center"/>
              <w:rPr>
                <w:rFonts w:hint="eastAsia" w:eastAsia="微软雅黑"/>
                <w:b/>
                <w:bCs/>
                <w:sz w:val="24"/>
                <w:szCs w:val="22"/>
                <w:vertAlign w:val="baseline"/>
                <w:lang w:eastAsia="zh-CN"/>
              </w:rPr>
            </w:pPr>
            <w:r>
              <w:rPr>
                <w:rFonts w:hint="eastAsia"/>
                <w:b/>
                <w:bCs/>
                <w:sz w:val="24"/>
                <w:szCs w:val="22"/>
                <w:vertAlign w:val="baseline"/>
                <w:lang w:eastAsia="zh-CN"/>
              </w:rPr>
              <w:t>活动规模</w:t>
            </w:r>
          </w:p>
        </w:tc>
        <w:tc>
          <w:tcPr>
            <w:tcW w:w="1564" w:type="dxa"/>
          </w:tcPr>
          <w:p>
            <w:pPr>
              <w:jc w:val="center"/>
              <w:rPr>
                <w:rFonts w:hint="eastAsia" w:eastAsia="微软雅黑"/>
                <w:b/>
                <w:bCs/>
                <w:sz w:val="24"/>
                <w:szCs w:val="22"/>
                <w:vertAlign w:val="baseline"/>
                <w:lang w:eastAsia="zh-CN"/>
              </w:rPr>
            </w:pPr>
            <w:r>
              <w:rPr>
                <w:rFonts w:hint="eastAsia"/>
                <w:b/>
                <w:bCs/>
                <w:sz w:val="24"/>
                <w:szCs w:val="22"/>
                <w:vertAlign w:val="baseline"/>
                <w:lang w:eastAsia="zh-CN"/>
              </w:rPr>
              <w:t>活动类型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930" w:type="dxa"/>
          </w:tcPr>
          <w:p>
            <w:pPr>
              <w:rPr>
                <w:vertAlign w:val="baseline"/>
              </w:rPr>
            </w:pPr>
          </w:p>
        </w:tc>
        <w:tc>
          <w:tcPr>
            <w:tcW w:w="2100" w:type="dxa"/>
          </w:tcPr>
          <w:p>
            <w:pPr>
              <w:rPr>
                <w:vertAlign w:val="baseline"/>
              </w:rPr>
            </w:pPr>
          </w:p>
        </w:tc>
        <w:tc>
          <w:tcPr>
            <w:tcW w:w="1710" w:type="dxa"/>
          </w:tcPr>
          <w:p>
            <w:pPr>
              <w:rPr>
                <w:vertAlign w:val="baseline"/>
              </w:rPr>
            </w:pPr>
          </w:p>
        </w:tc>
        <w:tc>
          <w:tcPr>
            <w:tcW w:w="1410" w:type="dxa"/>
          </w:tcPr>
          <w:p>
            <w:pPr>
              <w:rPr>
                <w:vertAlign w:val="baseline"/>
              </w:rPr>
            </w:pPr>
          </w:p>
        </w:tc>
        <w:tc>
          <w:tcPr>
            <w:tcW w:w="1515" w:type="dxa"/>
          </w:tcPr>
          <w:p>
            <w:pPr>
              <w:rPr>
                <w:vertAlign w:val="baseline"/>
              </w:rPr>
            </w:pPr>
          </w:p>
        </w:tc>
        <w:tc>
          <w:tcPr>
            <w:tcW w:w="1361" w:type="dxa"/>
          </w:tcPr>
          <w:p>
            <w:pPr>
              <w:rPr>
                <w:vertAlign w:val="baseline"/>
              </w:rPr>
            </w:pPr>
          </w:p>
        </w:tc>
        <w:tc>
          <w:tcPr>
            <w:tcW w:w="1564" w:type="dxa"/>
          </w:tcPr>
          <w:p>
            <w:pPr>
              <w:rPr>
                <w:vertAlign w:val="baseline"/>
              </w:rPr>
            </w:pPr>
          </w:p>
        </w:tc>
      </w:tr>
    </w:tbl>
    <w:p>
      <w:pPr>
        <w:ind w:firstLine="640" w:firstLineChars="200"/>
        <w:rPr>
          <w:rFonts w:hint="default" w:ascii="仿宋" w:hAnsi="仿宋" w:eastAsia="仿宋" w:cs="仿宋"/>
          <w:kern w:val="0"/>
          <w:sz w:val="32"/>
          <w:szCs w:val="32"/>
          <w:lang w:val="en-US" w:eastAsia="zh-CN" w:bidi="ar"/>
        </w:rPr>
      </w:pPr>
    </w:p>
    <w:p>
      <w:pP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注：</w:t>
      </w:r>
    </w:p>
    <w:p>
      <w:pP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1.若活动具体时间尚未确定则填写至月，活动地点填写校内或校外即可；</w:t>
      </w:r>
    </w:p>
    <w:p>
      <w:pP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2.活动规模为预计参与人数；</w:t>
      </w:r>
    </w:p>
    <w:p>
      <w:pP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3.活动类型可分为：教育教学类、学术研讨类、素质拓展类、团建党建类、文体竞技类、其他类等。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F7190"/>
    <w:rsid w:val="033918BC"/>
    <w:rsid w:val="16F31131"/>
    <w:rsid w:val="1A8D14C3"/>
    <w:rsid w:val="26137A56"/>
    <w:rsid w:val="28FD64A7"/>
    <w:rsid w:val="2EFF7190"/>
    <w:rsid w:val="357B436F"/>
    <w:rsid w:val="4865499A"/>
    <w:rsid w:val="610677E7"/>
    <w:rsid w:val="64A3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8"/>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2018-10-17T02:18:00Z</dcterms:created>
  <dc:creator>杨竣文</dc:creator>
  <cp:lastModifiedBy>1573</cp:lastModifiedBy>
  <dcterms:modified xsi:type="dcterms:W3CDTF">2018-10-17T03:48:01Z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